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1B350" w14:textId="77777777" w:rsidR="00D36A35" w:rsidRPr="00D36A35" w:rsidRDefault="00D36A35" w:rsidP="00D36A35">
      <w:pPr>
        <w:spacing w:before="100" w:beforeAutospacing="1" w:after="100" w:afterAutospacing="1"/>
        <w:outlineLvl w:val="2"/>
        <w:rPr>
          <w:rFonts w:asciiTheme="minorHAnsi" w:eastAsia="Times New Roman" w:hAnsiTheme="minorHAnsi" w:cstheme="minorHAnsi"/>
          <w:b/>
          <w:bCs/>
          <w:sz w:val="22"/>
          <w:szCs w:val="22"/>
          <w:lang w:val="fr-FR" w:eastAsia="en-US"/>
        </w:rPr>
      </w:pPr>
    </w:p>
    <w:p w14:paraId="236966D5" w14:textId="753AD070" w:rsidR="00D36A35" w:rsidRPr="00D36A35" w:rsidRDefault="00D36A35" w:rsidP="00D36A35">
      <w:pPr>
        <w:spacing w:before="100" w:beforeAutospacing="1" w:after="100" w:afterAutospacing="1"/>
        <w:outlineLvl w:val="2"/>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b/>
          <w:bCs/>
          <w:sz w:val="28"/>
          <w:szCs w:val="28"/>
          <w:lang w:val="fr-FR" w:eastAsia="en-US"/>
        </w:rPr>
        <w:t>Baisse de la production de tubes en Europe en 2025</w:t>
      </w:r>
      <w:r w:rsidRPr="00D36A35">
        <w:rPr>
          <w:rFonts w:asciiTheme="minorHAnsi" w:eastAsia="Times New Roman" w:hAnsiTheme="minorHAnsi" w:cstheme="minorHAnsi"/>
          <w:b/>
          <w:bCs/>
          <w:sz w:val="28"/>
          <w:szCs w:val="28"/>
          <w:lang w:val="fr-FR" w:eastAsia="en-US"/>
        </w:rPr>
        <w:br/>
      </w:r>
      <w:r w:rsidRPr="00D36A35">
        <w:rPr>
          <w:rFonts w:asciiTheme="minorHAnsi" w:eastAsia="Times New Roman" w:hAnsiTheme="minorHAnsi" w:cstheme="minorHAnsi"/>
          <w:sz w:val="22"/>
          <w:szCs w:val="22"/>
          <w:lang w:val="fr-FR" w:eastAsia="en-US"/>
        </w:rPr>
        <w:t>Le marché européen du tube reste résilient malgré un contexte difficile</w:t>
      </w:r>
    </w:p>
    <w:p w14:paraId="1D9AC043"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Les livraisons des fabricants de tubes regroupés au sein de l’Association européenne des fabricants de tubes (etma) ont diminué de 3,6 % en 2025 par rapport à l’année précédente, pour atteindre un volume total d’environ 11,1 milliards d’unités.</w:t>
      </w:r>
    </w:p>
    <w:p w14:paraId="54CE9DBC"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Tous les segments de matériaux ont enregistré une tendance à la baisse, bien qu’avec des intensités variables. Les tubes en aluminium ont atteint un volume total de 3,8 milliards d’unités, soit une diminution de 2,5 % par rapport à l’année précédente, principalement en raison d’une demande plus faible du secteur pharmaceutique, qui constitue le principal marché d’application de ce segment. Les tubes en plastique ont connu un recul plus marqué de 6,7 %, à 2,87 milliards d’unités, reflétant un ralentissement notable de la demande dans le secteur des cosmétiques, en particulier pour les formats de petit diamètre après une performance plus soutenue l’année précédente. Les tubes laminés sont restés relativement stables avec une légère baisse de 1,0 %, à 4,43 milliards d’unités.</w:t>
      </w:r>
    </w:p>
    <w:p w14:paraId="15861582"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 En 2025, le marché européen du tube a continué d’évoluer dans un environnement difficile, marqué par l’incertitude géopolitique, une confiance prudente des consommateurs et la poursuite des pressions sur les coûts de l’énergie, de la main-d’œuvre et des matières premières », déclare Seifeldin Raslan Mohamed, Secrétaire général de l’etma. « Bien que la demande soit restée solide dans plusieurs domaines d’application clés, nous avons clairement observé une correction dans des segments qui avaient enregistré de fortes performances au cours des années précédentes, notamment dans les applications liées aux cosmétiques. »</w:t>
      </w:r>
    </w:p>
    <w:p w14:paraId="53F3D865" w14:textId="77777777" w:rsidR="00D36A35" w:rsidRPr="00D36A35" w:rsidRDefault="00D36A35" w:rsidP="00D36A35">
      <w:pPr>
        <w:spacing w:before="100" w:beforeAutospacing="1" w:after="100" w:afterAutospacing="1"/>
        <w:outlineLvl w:val="2"/>
        <w:rPr>
          <w:rFonts w:asciiTheme="minorHAnsi" w:eastAsia="Times New Roman" w:hAnsiTheme="minorHAnsi" w:cstheme="minorHAnsi"/>
          <w:b/>
          <w:bCs/>
          <w:sz w:val="22"/>
          <w:szCs w:val="22"/>
          <w:lang w:val="fr-FR" w:eastAsia="en-US"/>
        </w:rPr>
      </w:pPr>
      <w:r w:rsidRPr="00D36A35">
        <w:rPr>
          <w:rFonts w:asciiTheme="minorHAnsi" w:eastAsia="Times New Roman" w:hAnsiTheme="minorHAnsi" w:cstheme="minorHAnsi"/>
          <w:b/>
          <w:bCs/>
          <w:sz w:val="22"/>
          <w:szCs w:val="22"/>
          <w:lang w:val="fr-FR" w:eastAsia="en-US"/>
        </w:rPr>
        <w:t>Une reprise progressive en 2026 assombrie par de nouvelles pressions sur les chaînes d’approvisionnement</w:t>
      </w:r>
    </w:p>
    <w:p w14:paraId="4CC16F0F"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 xml:space="preserve">Alors que le premier trimestre 2026 a montré des signes encourageants de reprise progressive sur plusieurs marchés d’utilisation finale, en particulier dans </w:t>
      </w:r>
      <w:proofErr w:type="gramStart"/>
      <w:r w:rsidRPr="00D36A35">
        <w:rPr>
          <w:rFonts w:asciiTheme="minorHAnsi" w:eastAsia="Times New Roman" w:hAnsiTheme="minorHAnsi" w:cstheme="minorHAnsi"/>
          <w:sz w:val="22"/>
          <w:szCs w:val="22"/>
          <w:lang w:val="fr-FR" w:eastAsia="en-US"/>
        </w:rPr>
        <w:t>les secteurs pharmaceutique</w:t>
      </w:r>
      <w:proofErr w:type="gramEnd"/>
      <w:r w:rsidRPr="00D36A35">
        <w:rPr>
          <w:rFonts w:asciiTheme="minorHAnsi" w:eastAsia="Times New Roman" w:hAnsiTheme="minorHAnsi" w:cstheme="minorHAnsi"/>
          <w:sz w:val="22"/>
          <w:szCs w:val="22"/>
          <w:lang w:val="fr-FR" w:eastAsia="en-US"/>
        </w:rPr>
        <w:t xml:space="preserve"> et dans certaines applications cosmétiques, cette dynamique positive est de plus en plus accompagnée par le retour de facteurs de pression externes affectant l’environnement mondial des chaînes d’approvisionnement.</w:t>
      </w:r>
    </w:p>
    <w:p w14:paraId="33CE8085"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En particulier, l’escalade de la guerre entre les États-Unis et l’Iran en mars 2026 a entraîné d’importantes perturbations des routes logistiques internationales et provoqué une forte hausse des prix des matières premières dans plusieurs catégories essentielles à la fabrication de tubes. Dans le même temps, des contraintes d’approvisionnement sont réapparues dans certains segments des chaînes d’approvisionnement en métaux et en polymères, ajoutant de nouvelles difficultés à un environnement de coûts déjà fragile. Ces évolutions réduisent une fois de plus la visibilité et la sécurité de planification des fabricants de l’industrie européenne du tube.</w:t>
      </w:r>
    </w:p>
    <w:p w14:paraId="142541A4"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Bien que les tendances de la demande soient plus favorables que l’année précédente, la volatilité du côté de l’offre crée un environnement d’activité plus irrégulier et moins prévisible. Cette situation affecte particulièrement les étapes de production à forte intensité énergétique ainsi que les matières premières échangées à l’échelle mondiale, dont les fluctuations de prix se sont accentuées au cours des derniers mois.</w:t>
      </w:r>
    </w:p>
    <w:p w14:paraId="7453E374"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t>Malgré ces défis, l’industrie demeure prudemment optimiste quant au résultat global du premier semestre 2026. La reprise sous-jacente de la demande, combinée à la résilience continue de secteurs d’application essentiels tels que les produits pharmaceutiques, les cosmétiques et l’emballage alimentaire, constitue une base solide pour le secteur. Toutefois, l’équilibre entre l’amélioration de la demande et l’augmentation des pressions du côté de l’offre restera un facteur déterminant pour les performances à court terme.</w:t>
      </w:r>
    </w:p>
    <w:p w14:paraId="5149BFCB" w14:textId="77777777" w:rsidR="00D36A35" w:rsidRPr="00D36A35" w:rsidRDefault="00D36A35" w:rsidP="00D36A35">
      <w:pPr>
        <w:spacing w:before="100" w:beforeAutospacing="1" w:after="100" w:afterAutospacing="1"/>
        <w:rPr>
          <w:rFonts w:asciiTheme="minorHAnsi" w:eastAsia="Times New Roman" w:hAnsiTheme="minorHAnsi" w:cstheme="minorHAnsi"/>
          <w:sz w:val="22"/>
          <w:szCs w:val="22"/>
          <w:lang w:val="fr-FR" w:eastAsia="en-US"/>
        </w:rPr>
      </w:pPr>
      <w:r w:rsidRPr="00D36A35">
        <w:rPr>
          <w:rFonts w:asciiTheme="minorHAnsi" w:eastAsia="Times New Roman" w:hAnsiTheme="minorHAnsi" w:cstheme="minorHAnsi"/>
          <w:sz w:val="22"/>
          <w:szCs w:val="22"/>
          <w:lang w:val="fr-FR" w:eastAsia="en-US"/>
        </w:rPr>
        <w:lastRenderedPageBreak/>
        <w:t>L’etma publiera des données statistiques détaillées relatives au premier semestre 2026 dans son communiqué de presse officiel de septembre 2026, offrant ainsi une vue d’ensemble complète de l’évolution du marché et des tendances spécifiques à chaque segment</w:t>
      </w:r>
    </w:p>
    <w:p w14:paraId="1B0F5EB3" w14:textId="195C82CC" w:rsidR="00AF2944" w:rsidRPr="00D36A35" w:rsidRDefault="00AF2944" w:rsidP="00085339">
      <w:pPr>
        <w:ind w:left="709" w:right="657"/>
        <w:rPr>
          <w:rFonts w:asciiTheme="minorHAnsi" w:hAnsiTheme="minorHAnsi" w:cstheme="minorHAnsi"/>
          <w:sz w:val="22"/>
          <w:szCs w:val="22"/>
          <w:lang w:val="fr-FR"/>
        </w:rPr>
      </w:pPr>
    </w:p>
    <w:p w14:paraId="014732F1" w14:textId="77777777" w:rsidR="00BB0F48" w:rsidRPr="00D36A35" w:rsidRDefault="00BB0F48" w:rsidP="00AF2944">
      <w:pPr>
        <w:ind w:left="709" w:right="657"/>
        <w:rPr>
          <w:rFonts w:asciiTheme="minorHAnsi" w:hAnsiTheme="minorHAnsi" w:cstheme="minorHAnsi"/>
          <w:sz w:val="22"/>
          <w:szCs w:val="22"/>
          <w:lang w:val="fr-FR"/>
        </w:rPr>
      </w:pPr>
    </w:p>
    <w:p w14:paraId="650826E0" w14:textId="77777777" w:rsidR="00AF2944" w:rsidRPr="00D36A35" w:rsidRDefault="00AF2944" w:rsidP="00AF2944">
      <w:pPr>
        <w:ind w:left="709" w:right="657"/>
        <w:rPr>
          <w:rFonts w:asciiTheme="minorHAnsi" w:hAnsiTheme="minorHAnsi" w:cstheme="minorHAnsi"/>
          <w:sz w:val="22"/>
          <w:szCs w:val="22"/>
          <w:lang w:val="fr-FR"/>
        </w:rPr>
      </w:pPr>
    </w:p>
    <w:sectPr w:rsidR="00AF2944" w:rsidRPr="00D36A35" w:rsidSect="001916F8">
      <w:footerReference w:type="default" r:id="rId7"/>
      <w:headerReference w:type="first" r:id="rId8"/>
      <w:footerReference w:type="first" r:id="rId9"/>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32FC4" w14:textId="77777777" w:rsidR="00F77A1F" w:rsidRDefault="00F77A1F" w:rsidP="000C2018">
      <w:r>
        <w:separator/>
      </w:r>
    </w:p>
  </w:endnote>
  <w:endnote w:type="continuationSeparator" w:id="0">
    <w:p w14:paraId="21AA0F88" w14:textId="77777777" w:rsidR="00F77A1F" w:rsidRDefault="00F77A1F"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363872741"/>
      <w:docPartObj>
        <w:docPartGallery w:val="Page Numbers (Bottom of Page)"/>
        <w:docPartUnique/>
      </w:docPartObj>
    </w:sdtPr>
    <w:sdtContent>
      <w:sdt>
        <w:sdtPr>
          <w:rPr>
            <w:rFonts w:ascii="Arial" w:hAnsi="Arial" w:cs="Arial"/>
            <w:color w:val="007DBA"/>
            <w:sz w:val="16"/>
            <w:szCs w:val="16"/>
          </w:rPr>
          <w:id w:val="-1994328871"/>
          <w:docPartObj>
            <w:docPartGallery w:val="Page Numbers (Top of Page)"/>
            <w:docPartUnique/>
          </w:docPartObj>
        </w:sdt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702160357"/>
      <w:docPartObj>
        <w:docPartGallery w:val="Page Numbers (Bottom of Page)"/>
        <w:docPartUnique/>
      </w:docPartObj>
    </w:sdtPr>
    <w:sdtContent>
      <w:sdt>
        <w:sdtPr>
          <w:rPr>
            <w:rFonts w:ascii="Arial" w:hAnsi="Arial" w:cs="Arial"/>
            <w:color w:val="007DBA"/>
            <w:sz w:val="16"/>
            <w:szCs w:val="16"/>
          </w:rPr>
          <w:id w:val="452603900"/>
          <w:docPartObj>
            <w:docPartGallery w:val="Page Numbers (Top of Page)"/>
            <w:docPartUnique/>
          </w:docPartObj>
        </w:sdt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05D2A" w14:textId="77777777" w:rsidR="00F77A1F" w:rsidRDefault="00F77A1F" w:rsidP="000C2018">
      <w:r>
        <w:separator/>
      </w:r>
    </w:p>
  </w:footnote>
  <w:footnote w:type="continuationSeparator" w:id="0">
    <w:p w14:paraId="68558321" w14:textId="77777777" w:rsidR="00F77A1F" w:rsidRDefault="00F77A1F"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13347244">
    <w:abstractNumId w:val="6"/>
  </w:num>
  <w:num w:numId="2" w16cid:durableId="96796893">
    <w:abstractNumId w:val="1"/>
  </w:num>
  <w:num w:numId="3" w16cid:durableId="1005673926">
    <w:abstractNumId w:val="3"/>
  </w:num>
  <w:num w:numId="4" w16cid:durableId="141777541">
    <w:abstractNumId w:val="4"/>
  </w:num>
  <w:num w:numId="5" w16cid:durableId="2081445673">
    <w:abstractNumId w:val="7"/>
  </w:num>
  <w:num w:numId="6" w16cid:durableId="953026772">
    <w:abstractNumId w:val="2"/>
  </w:num>
  <w:num w:numId="7" w16cid:durableId="1521428097">
    <w:abstractNumId w:val="0"/>
  </w:num>
  <w:num w:numId="8" w16cid:durableId="906919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14B4"/>
    <w:rsid w:val="0005736F"/>
    <w:rsid w:val="00065E13"/>
    <w:rsid w:val="0007331C"/>
    <w:rsid w:val="00075F9A"/>
    <w:rsid w:val="00085339"/>
    <w:rsid w:val="000B2ADB"/>
    <w:rsid w:val="000C2018"/>
    <w:rsid w:val="000C5B78"/>
    <w:rsid w:val="00131ACC"/>
    <w:rsid w:val="0013475A"/>
    <w:rsid w:val="00160311"/>
    <w:rsid w:val="00176071"/>
    <w:rsid w:val="00177B13"/>
    <w:rsid w:val="00186EB1"/>
    <w:rsid w:val="001916F8"/>
    <w:rsid w:val="001B519B"/>
    <w:rsid w:val="0020295B"/>
    <w:rsid w:val="00283146"/>
    <w:rsid w:val="00284116"/>
    <w:rsid w:val="002A7502"/>
    <w:rsid w:val="002C148B"/>
    <w:rsid w:val="002F0AE9"/>
    <w:rsid w:val="00312937"/>
    <w:rsid w:val="00323405"/>
    <w:rsid w:val="00335FAB"/>
    <w:rsid w:val="00393F20"/>
    <w:rsid w:val="0040241B"/>
    <w:rsid w:val="00410A9D"/>
    <w:rsid w:val="00411F30"/>
    <w:rsid w:val="0041369D"/>
    <w:rsid w:val="00432B1D"/>
    <w:rsid w:val="00457D99"/>
    <w:rsid w:val="004B7729"/>
    <w:rsid w:val="004B7F04"/>
    <w:rsid w:val="004F7A8D"/>
    <w:rsid w:val="00570503"/>
    <w:rsid w:val="005735CA"/>
    <w:rsid w:val="005A2F36"/>
    <w:rsid w:val="005B0C76"/>
    <w:rsid w:val="005E0F9B"/>
    <w:rsid w:val="005F6036"/>
    <w:rsid w:val="00601BF5"/>
    <w:rsid w:val="00617A4F"/>
    <w:rsid w:val="00644BF3"/>
    <w:rsid w:val="00670733"/>
    <w:rsid w:val="006A32B1"/>
    <w:rsid w:val="006A7873"/>
    <w:rsid w:val="006C59E1"/>
    <w:rsid w:val="006D0448"/>
    <w:rsid w:val="00733C79"/>
    <w:rsid w:val="00741B75"/>
    <w:rsid w:val="0074465D"/>
    <w:rsid w:val="00775976"/>
    <w:rsid w:val="0078662F"/>
    <w:rsid w:val="007B0A28"/>
    <w:rsid w:val="007C1BE4"/>
    <w:rsid w:val="007D5FBC"/>
    <w:rsid w:val="00804A03"/>
    <w:rsid w:val="00820DA1"/>
    <w:rsid w:val="008221A2"/>
    <w:rsid w:val="008841BF"/>
    <w:rsid w:val="008B6518"/>
    <w:rsid w:val="008E49B1"/>
    <w:rsid w:val="008E7628"/>
    <w:rsid w:val="009056DF"/>
    <w:rsid w:val="00980A88"/>
    <w:rsid w:val="00A12784"/>
    <w:rsid w:val="00A23DF2"/>
    <w:rsid w:val="00A550C1"/>
    <w:rsid w:val="00A82841"/>
    <w:rsid w:val="00A86140"/>
    <w:rsid w:val="00A92BBC"/>
    <w:rsid w:val="00A94454"/>
    <w:rsid w:val="00AA1B45"/>
    <w:rsid w:val="00AD1106"/>
    <w:rsid w:val="00AE22BC"/>
    <w:rsid w:val="00AE6134"/>
    <w:rsid w:val="00AF2944"/>
    <w:rsid w:val="00AF7331"/>
    <w:rsid w:val="00B04017"/>
    <w:rsid w:val="00B50F1E"/>
    <w:rsid w:val="00B60E80"/>
    <w:rsid w:val="00B672F8"/>
    <w:rsid w:val="00B86871"/>
    <w:rsid w:val="00BA654C"/>
    <w:rsid w:val="00BB0F48"/>
    <w:rsid w:val="00C12C0F"/>
    <w:rsid w:val="00C30DA5"/>
    <w:rsid w:val="00C54C43"/>
    <w:rsid w:val="00C55616"/>
    <w:rsid w:val="00CB5ECE"/>
    <w:rsid w:val="00CB6F3E"/>
    <w:rsid w:val="00CD373A"/>
    <w:rsid w:val="00CD7B11"/>
    <w:rsid w:val="00CE0E79"/>
    <w:rsid w:val="00D00872"/>
    <w:rsid w:val="00D36A35"/>
    <w:rsid w:val="00D6059F"/>
    <w:rsid w:val="00D618A6"/>
    <w:rsid w:val="00D648CB"/>
    <w:rsid w:val="00D77857"/>
    <w:rsid w:val="00D87DE7"/>
    <w:rsid w:val="00D9304D"/>
    <w:rsid w:val="00DB458C"/>
    <w:rsid w:val="00DC2045"/>
    <w:rsid w:val="00DD5D9B"/>
    <w:rsid w:val="00DD6CC8"/>
    <w:rsid w:val="00DE76BF"/>
    <w:rsid w:val="00DF1796"/>
    <w:rsid w:val="00DF3137"/>
    <w:rsid w:val="00DF45A0"/>
    <w:rsid w:val="00E31664"/>
    <w:rsid w:val="00E92367"/>
    <w:rsid w:val="00EB1513"/>
    <w:rsid w:val="00EB1BFE"/>
    <w:rsid w:val="00EE2E1C"/>
    <w:rsid w:val="00EE77D0"/>
    <w:rsid w:val="00EF3B0A"/>
    <w:rsid w:val="00F0216C"/>
    <w:rsid w:val="00F11787"/>
    <w:rsid w:val="00F423EB"/>
    <w:rsid w:val="00F628AB"/>
    <w:rsid w:val="00F766C7"/>
    <w:rsid w:val="00F77A1F"/>
    <w:rsid w:val="00F93A32"/>
    <w:rsid w:val="00FE0A6C"/>
    <w:rsid w:val="00FE2096"/>
    <w:rsid w:val="00FE5B2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3B921DA9-D2CE-4D12-B2B6-AC982FB1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2">
    <w:name w:val="heading 2"/>
    <w:basedOn w:val="Standard"/>
    <w:next w:val="Standard"/>
    <w:link w:val="berschrift2Zchn"/>
    <w:uiPriority w:val="9"/>
    <w:semiHidden/>
    <w:unhideWhenUsed/>
    <w:qFormat/>
    <w:rsid w:val="006A787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36A35"/>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 w:type="character" w:customStyle="1" w:styleId="berschrift2Zchn">
    <w:name w:val="Überschrift 2 Zchn"/>
    <w:basedOn w:val="Absatz-Standardschriftart"/>
    <w:link w:val="berschrift2"/>
    <w:uiPriority w:val="9"/>
    <w:semiHidden/>
    <w:rsid w:val="006A7873"/>
    <w:rPr>
      <w:rFonts w:asciiTheme="majorHAnsi" w:eastAsiaTheme="majorEastAsia" w:hAnsiTheme="majorHAnsi" w:cstheme="majorBidi"/>
      <w:color w:val="2E74B5" w:themeColor="accent1" w:themeShade="BF"/>
      <w:sz w:val="26"/>
      <w:szCs w:val="26"/>
      <w:lang w:val="en-GB" w:eastAsia="de-DE"/>
    </w:rPr>
  </w:style>
  <w:style w:type="character" w:customStyle="1" w:styleId="berschrift3Zchn">
    <w:name w:val="Überschrift 3 Zchn"/>
    <w:basedOn w:val="Absatz-Standardschriftart"/>
    <w:link w:val="berschrift3"/>
    <w:uiPriority w:val="9"/>
    <w:semiHidden/>
    <w:rsid w:val="00D36A35"/>
    <w:rPr>
      <w:rFonts w:asciiTheme="majorHAnsi" w:eastAsiaTheme="majorEastAsia" w:hAnsiTheme="majorHAnsi" w:cstheme="majorBidi"/>
      <w:color w:val="1F4D78" w:themeColor="accent1" w:themeShade="7F"/>
      <w:sz w:val="24"/>
      <w:szCs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Seifeldin Raslan Mohamed</cp:lastModifiedBy>
  <cp:revision>25</cp:revision>
  <dcterms:created xsi:type="dcterms:W3CDTF">2025-02-20T08:42:00Z</dcterms:created>
  <dcterms:modified xsi:type="dcterms:W3CDTF">2026-06-10T07:30:00Z</dcterms:modified>
</cp:coreProperties>
</file>